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widowControl w:val="false"/>
        <w:bidi w:val="0"/>
        <w:spacing w:lineRule="auto" w:line="240" w:before="315" w:after="0"/>
        <w:ind w:hanging="0" w:left="0" w:right="1531"/>
        <w:contextualSpacing/>
        <w:jc w:val="center"/>
        <w:rPr>
          <w:i w:val="false"/>
          <w:i w:val="false"/>
          <w:iCs w:val="false"/>
          <w:position w:val="0"/>
          <w:sz w:val="44"/>
          <w:sz w:val="44"/>
          <w:vertAlign w:val="baseline"/>
        </w:rPr>
      </w:pPr>
      <w:r>
        <w:rPr>
          <w:i w:val="false"/>
          <w:iCs w:val="false"/>
          <w:position w:val="0"/>
          <w:sz w:val="44"/>
          <w:sz w:val="44"/>
          <w:vertAlign w:val="baseline"/>
        </w:rPr>
      </w:r>
    </w:p>
    <w:p>
      <w:pPr>
        <w:pStyle w:val="Title"/>
        <w:widowControl w:val="false"/>
        <w:bidi w:val="0"/>
        <w:spacing w:lineRule="auto" w:line="240" w:before="315" w:after="0"/>
        <w:ind w:hanging="0" w:left="0" w:right="0"/>
        <w:contextualSpacing/>
        <w:jc w:val="center"/>
        <w:rPr/>
      </w:pPr>
      <w:r>
        <w:rPr>
          <w:b/>
          <w:bCs/>
          <w:i w:val="false"/>
          <w:iCs w:val="false"/>
          <w:position w:val="0"/>
          <w:sz w:val="44"/>
          <w:sz w:val="44"/>
          <w:vertAlign w:val="baseline"/>
        </w:rPr>
        <w:t>Actividades pendientes y estimación</w:t>
      </w:r>
      <w:r>
        <w:rPr>
          <w:b/>
          <w:bCs/>
          <w:i w:val="false"/>
          <w:iCs w:val="false"/>
          <w:spacing w:val="-9"/>
          <w:position w:val="0"/>
          <w:sz w:val="44"/>
          <w:sz w:val="44"/>
          <w:vertAlign w:val="baseline"/>
        </w:rPr>
        <w:t xml:space="preserve"> </w:t>
      </w:r>
      <w:r>
        <w:rPr>
          <w:b/>
          <w:bCs/>
          <w:i w:val="false"/>
          <w:iCs w:val="false"/>
          <w:position w:val="0"/>
          <w:sz w:val="44"/>
          <w:sz w:val="44"/>
          <w:vertAlign w:val="baseline"/>
        </w:rPr>
        <w:t xml:space="preserve">de </w:t>
      </w:r>
      <w:r>
        <w:rPr>
          <w:b/>
          <w:bCs/>
          <w:i w:val="false"/>
          <w:iCs w:val="false"/>
          <w:spacing w:val="-8"/>
          <w:position w:val="0"/>
          <w:sz w:val="44"/>
          <w:sz w:val="44"/>
          <w:vertAlign w:val="baseline"/>
        </w:rPr>
        <w:t>t</w:t>
      </w:r>
      <w:r>
        <w:rPr>
          <w:b/>
          <w:bCs/>
          <w:i w:val="false"/>
          <w:iCs w:val="false"/>
          <w:position w:val="0"/>
          <w:sz w:val="44"/>
          <w:sz w:val="44"/>
          <w:vertAlign w:val="baseline"/>
        </w:rPr>
        <w:t>iempos</w:t>
      </w:r>
      <w:r>
        <w:rPr>
          <w:b/>
          <w:bCs/>
          <w:i w:val="false"/>
          <w:iCs w:val="false"/>
          <w:spacing w:val="-8"/>
          <w:position w:val="0"/>
          <w:sz w:val="44"/>
          <w:sz w:val="44"/>
          <w:vertAlign w:val="baseline"/>
        </w:rPr>
        <w:t xml:space="preserve"> </w:t>
      </w:r>
      <w:r>
        <w:rPr>
          <w:b/>
          <w:bCs/>
          <w:i w:val="false"/>
          <w:iCs w:val="false"/>
          <w:position w:val="0"/>
          <w:sz w:val="44"/>
          <w:sz w:val="44"/>
          <w:vertAlign w:val="baseline"/>
        </w:rPr>
        <w:t>para la</w:t>
      </w:r>
      <w:r>
        <w:rPr>
          <w:b/>
          <w:bCs/>
          <w:i w:val="false"/>
          <w:iCs w:val="false"/>
          <w:spacing w:val="-8"/>
          <w:position w:val="0"/>
          <w:sz w:val="44"/>
          <w:sz w:val="44"/>
          <w:vertAlign w:val="baseline"/>
        </w:rPr>
        <w:t xml:space="preserve"> i</w:t>
      </w:r>
      <w:r>
        <w:rPr>
          <w:b/>
          <w:bCs/>
          <w:i w:val="false"/>
          <w:iCs w:val="false"/>
          <w:position w:val="0"/>
          <w:sz w:val="44"/>
          <w:sz w:val="44"/>
          <w:vertAlign w:val="baseline"/>
        </w:rPr>
        <w:t xml:space="preserve">ntegración de </w:t>
      </w:r>
      <w:r>
        <w:rPr>
          <w:rFonts w:eastAsia="" w:cs="" w:cstheme="majorBidi" w:eastAsiaTheme="majorEastAsia"/>
          <w:b/>
          <w:bCs/>
          <w:i w:val="false"/>
          <w:iCs w:val="false"/>
          <w:color w:val="auto"/>
          <w:spacing w:val="-10"/>
          <w:kern w:val="2"/>
          <w:position w:val="0"/>
          <w:sz w:val="44"/>
          <w:sz w:val="44"/>
          <w:szCs w:val="56"/>
          <w:vertAlign w:val="baseline"/>
          <w:lang w:val="es-ES" w:eastAsia="en-US" w:bidi="ar-SA"/>
        </w:rPr>
        <w:t>autorizaciones uno a uno.</w:t>
      </w:r>
      <w:r>
        <w:rPr>
          <w:rFonts w:eastAsia="" w:cs="" w:cstheme="majorBidi" w:eastAsiaTheme="majorEastAsia"/>
          <w:b w:val="false"/>
          <w:bCs w:val="false"/>
          <w:i w:val="false"/>
          <w:iCs w:val="false"/>
          <w:color w:val="auto"/>
          <w:spacing w:val="-10"/>
          <w:kern w:val="2"/>
          <w:position w:val="0"/>
          <w:sz w:val="44"/>
          <w:sz w:val="44"/>
          <w:szCs w:val="56"/>
          <w:vertAlign w:val="baseline"/>
          <w:lang w:val="es-ES" w:eastAsia="en-US" w:bidi="ar-SA"/>
        </w:rPr>
        <w:br/>
      </w:r>
    </w:p>
    <w:p>
      <w:pPr>
        <w:pStyle w:val="Title"/>
        <w:widowControl w:val="false"/>
        <w:suppressAutoHyphens w:val="true"/>
        <w:bidi w:val="0"/>
        <w:spacing w:lineRule="auto" w:line="240" w:before="294" w:after="0"/>
        <w:ind w:hanging="0" w:left="0" w:right="-57"/>
        <w:contextualSpacing/>
        <w:jc w:val="center"/>
        <w:rPr>
          <w:rFonts w:ascii="Aptos Display" w:hAnsi="Aptos Display" w:eastAsia="" w:cs="" w:cstheme="majorBidi" w:eastAsiaTheme="majorEastAsia"/>
          <w:b/>
          <w:bCs/>
          <w:i w:val="false"/>
          <w:i w:val="false"/>
          <w:iCs w:val="false"/>
          <w:color w:val="auto"/>
          <w:spacing w:val="-10"/>
          <w:kern w:val="2"/>
          <w:position w:val="0"/>
          <w:sz w:val="44"/>
          <w:sz w:val="44"/>
          <w:szCs w:val="56"/>
          <w:vertAlign w:val="baseline"/>
          <w:lang w:val="es-ES" w:eastAsia="en-US" w:bidi="ar-SA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-159385</wp:posOffset>
                </wp:positionH>
                <wp:positionV relativeFrom="paragraph">
                  <wp:posOffset>1242060</wp:posOffset>
                </wp:positionV>
                <wp:extent cx="5614670" cy="3742690"/>
                <wp:effectExtent l="0" t="0" r="0" b="0"/>
                <wp:wrapTopAndBottom/>
                <wp:docPr id="1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4560" cy="3742560"/>
                          <a:chOff x="0" y="0"/>
                          <a:chExt cx="5614560" cy="3742560"/>
                        </a:xfrm>
                      </wpg:grpSpPr>
                      <pic:pic xmlns:pic="http://schemas.openxmlformats.org/drawingml/2006/picture">
                        <pic:nvPicPr>
                          <pic:cNvPr id="2" name="Image 4_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03360" y="1166400"/>
                            <a:ext cx="4689000" cy="1440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5_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5614560" cy="3742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-12.55pt;margin-top:97.8pt;width:442.1pt;height:294.7pt" coordorigin="-251,1956" coordsize="8842,58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_1" stroked="f" o:allowincell="f" style="position:absolute;left:699;top:3793;width:7383;height:2267;mso-wrap-style:none;v-text-anchor:middle" type="_x0000_t75">
                  <v:imagedata r:id="rId4" o:detectmouseclick="t"/>
                  <v:stroke color="#3465a4" joinstyle="round" endcap="flat"/>
                  <w10:wrap type="topAndBottom"/>
                </v:shape>
                <v:shape id="shape_0" ID="Image 5_1" stroked="f" o:allowincell="f" style="position:absolute;left:-251;top:1956;width:8841;height:5893;mso-wrap-style:none;v-text-anchor:middle" type="_x0000_t75">
                  <v:imagedata r:id="rId5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eastAsia="" w:cs="" w:cstheme="majorBidi" w:eastAsiaTheme="majorEastAsia"/>
          <w:b/>
          <w:bCs/>
          <w:i w:val="false"/>
          <w:iCs w:val="false"/>
          <w:color w:val="auto"/>
          <w:spacing w:val="-10"/>
          <w:kern w:val="2"/>
          <w:position w:val="0"/>
          <w:sz w:val="44"/>
          <w:sz w:val="44"/>
          <w:szCs w:val="56"/>
          <w:vertAlign w:val="baseline"/>
          <w:lang w:val="es-ES" w:eastAsia="en-US" w:bidi="ar-SA"/>
        </w:rPr>
        <w:t>Intelligent software arquitectura SAS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Introducción</w:t>
      </w:r>
    </w:p>
    <w:p>
      <w:pPr>
        <w:pStyle w:val="Normal"/>
        <w:rPr/>
      </w:pPr>
      <w:r>
        <w:rPr>
          <w:b/>
        </w:rPr>
        <w:br/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Informe Técnico: Estado de Desarrollo de la Funcionalidad de Vinculación Uno a Uno</w:t>
      </w:r>
    </w:p>
    <w:p>
      <w:pPr>
        <w:pStyle w:val="BodyText"/>
        <w:widowControl/>
        <w:spacing w:before="240" w:after="240"/>
        <w:ind w:hanging="0" w:left="0" w:right="0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Este documento presenta un análisis detallado de las actividades pendientes para completar la funcionalidad de vinculación uno a uno de autorizaciones. El informe especifica:</w:t>
      </w:r>
    </w:p>
    <w:p>
      <w:pPr>
        <w:pStyle w:val="BodyText"/>
        <w:widowControl/>
        <w:numPr>
          <w:ilvl w:val="0"/>
          <w:numId w:val="2"/>
        </w:numPr>
        <w:spacing w:before="0" w:after="0"/>
        <w:ind w:hanging="0" w:left="720" w:right="0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Las tareas restantes necesarias para completar el desarrollo</w:t>
      </w:r>
    </w:p>
    <w:p>
      <w:pPr>
        <w:pStyle w:val="BodyText"/>
        <w:widowControl/>
        <w:numPr>
          <w:ilvl w:val="0"/>
          <w:numId w:val="2"/>
        </w:numPr>
        <w:spacing w:before="0" w:after="0"/>
        <w:ind w:hanging="0" w:left="720" w:right="0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La estimación de esfuerzo requerido para cada actividad</w:t>
      </w:r>
    </w:p>
    <w:p>
      <w:pPr>
        <w:pStyle w:val="BodyText"/>
        <w:widowControl/>
        <w:numPr>
          <w:ilvl w:val="0"/>
          <w:numId w:val="2"/>
        </w:numPr>
        <w:spacing w:before="0" w:after="0"/>
        <w:ind w:hanging="0" w:left="720" w:right="0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La justificación técnica y prioridad de cada una</w:t>
      </w:r>
    </w:p>
    <w:p>
      <w:pPr>
        <w:pStyle w:val="Normal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bCs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Actividades pendientes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</w:rPr>
        <w:t>Análisis detallado del endpoint updatePatientServiceById: revisar flujo, DTOs, interfaces y dependencias para identificar el impacto del cambio de índice; estimado.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</w:rPr>
        <w:t>Validación del nuevo esquema consolidated_record: identificar campos equivalentes y necesidades de mapeo.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</w:rPr>
        <w:t>Actualización de código: refactor de repositorio y servicio, adaptación de consultas, generación de pruebas y verificación en entorno local.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</w:rPr>
        <w:t xml:space="preserve">Pruebas </w:t>
      </w:r>
      <w:r>
        <w:rPr>
          <w:b w:val="false"/>
          <w:bCs w:val="false"/>
        </w:rPr>
        <w:t>unitarias</w:t>
      </w:r>
      <w:r>
        <w:rPr>
          <w:b w:val="false"/>
          <w:bCs w:val="false"/>
        </w:rPr>
        <w:t xml:space="preserve">: correr pruebas funcionales con datos simulados. 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</w:rPr>
        <w:t>Crear nuevo tablero con datasource consolidated_record.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</w:rPr>
        <w:t>Pruebas integrales del flujo completo: vinculación de autorización uno a uno.</w:t>
        <w:br/>
        <w:br/>
      </w:r>
    </w:p>
    <w:p>
      <w:pPr>
        <w:pStyle w:val="Normal"/>
        <w:rPr/>
      </w:pPr>
      <w:r>
        <w:rPr>
          <w:b/>
        </w:rPr>
        <w:t>Plan de trabajo y estimación</w:t>
      </w:r>
    </w:p>
    <w:tbl>
      <w:tblPr>
        <w:tblStyle w:val="TableGrid"/>
        <w:tblW w:w="92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9"/>
        <w:gridCol w:w="6014"/>
        <w:gridCol w:w="2162"/>
      </w:tblGrid>
      <w:tr>
        <w:trPr/>
        <w:tc>
          <w:tcPr>
            <w:tcW w:w="10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Fase</w:t>
            </w:r>
          </w:p>
        </w:tc>
        <w:tc>
          <w:tcPr>
            <w:tcW w:w="60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1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Duración Estimada</w:t>
            </w:r>
          </w:p>
        </w:tc>
      </w:tr>
      <w:tr>
        <w:trPr/>
        <w:tc>
          <w:tcPr>
            <w:tcW w:w="107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601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6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1</w:t>
            </w:r>
          </w:p>
        </w:tc>
        <w:tc>
          <w:tcPr>
            <w:tcW w:w="6014" w:type="dxa"/>
            <w:tcBorders>
              <w:top w:val="nil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bCs w:val="false"/>
              </w:rPr>
              <w:t>Análisis detallado del endpoint updatePatientServiceById: revisar flujo, DTOs, interfaces y dependencias para identificar el impacto del cambio de índice</w:t>
            </w:r>
          </w:p>
        </w:tc>
        <w:tc>
          <w:tcPr>
            <w:tcW w:w="2162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 h</w:t>
            </w:r>
          </w:p>
        </w:tc>
      </w:tr>
      <w:tr>
        <w:trPr/>
        <w:tc>
          <w:tcPr>
            <w:tcW w:w="1079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6014" w:type="dxa"/>
            <w:tcBorders>
              <w:top w:val="nil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bCs w:val="false"/>
              </w:rPr>
              <w:t>Validación del nuevo esquema consolidated_record: identificar campos equivalentes y necesidades de mapeo</w:t>
            </w:r>
          </w:p>
        </w:tc>
        <w:tc>
          <w:tcPr>
            <w:tcW w:w="2162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4h</w:t>
            </w:r>
          </w:p>
        </w:tc>
      </w:tr>
      <w:tr>
        <w:trPr/>
        <w:tc>
          <w:tcPr>
            <w:tcW w:w="1079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</w:t>
            </w:r>
          </w:p>
        </w:tc>
        <w:tc>
          <w:tcPr>
            <w:tcW w:w="6014" w:type="dxa"/>
            <w:tcBorders>
              <w:top w:val="nil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bCs w:val="false"/>
              </w:rPr>
              <w:t>Actualización de código: refactor de repositorio/servicio, adaptación de consultas, generación de pruebas automáticas y verificación en entorno local</w:t>
            </w:r>
          </w:p>
        </w:tc>
        <w:tc>
          <w:tcPr>
            <w:tcW w:w="2162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5h</w:t>
            </w:r>
          </w:p>
        </w:tc>
      </w:tr>
      <w:tr>
        <w:trPr/>
        <w:tc>
          <w:tcPr>
            <w:tcW w:w="1079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4</w:t>
            </w:r>
          </w:p>
        </w:tc>
        <w:tc>
          <w:tcPr>
            <w:tcW w:w="6014" w:type="dxa"/>
            <w:tcBorders>
              <w:top w:val="nil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>
                <w:rFonts w:eastAsia="" w:cs="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  <w:t>Pruebas unitarias</w:t>
            </w:r>
            <w:r>
              <w:rPr>
                <w:b w:val="false"/>
                <w:bCs w:val="false"/>
              </w:rPr>
              <w:t>: correr pruebas unitarias con datos simulados,</w:t>
            </w:r>
          </w:p>
        </w:tc>
        <w:tc>
          <w:tcPr>
            <w:tcW w:w="2162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4h</w:t>
            </w:r>
          </w:p>
        </w:tc>
      </w:tr>
      <w:tr>
        <w:trPr/>
        <w:tc>
          <w:tcPr>
            <w:tcW w:w="1079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5</w:t>
            </w:r>
          </w:p>
        </w:tc>
        <w:tc>
          <w:tcPr>
            <w:tcW w:w="6014" w:type="dxa"/>
            <w:tcBorders>
              <w:top w:val="nil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bCs w:val="false"/>
              </w:rPr>
              <w:t>Crear nuevo tablero con datasource consolidated_record</w:t>
            </w:r>
            <w:r>
              <w:rPr/>
              <w:t xml:space="preserve"> </w:t>
            </w:r>
            <w:r>
              <w:rPr>
                <w:b w:val="false"/>
                <w:bCs w:val="false"/>
              </w:rPr>
              <w:t xml:space="preserve"> (</w:t>
            </w:r>
            <w:r>
              <w:rPr>
                <w:b/>
                <w:bCs/>
              </w:rPr>
              <w:t>Frontend</w:t>
            </w:r>
            <w:r>
              <w:rPr>
                <w:b w:val="false"/>
                <w:bCs w:val="false"/>
              </w:rPr>
              <w:t>)</w:t>
            </w:r>
          </w:p>
        </w:tc>
        <w:tc>
          <w:tcPr>
            <w:tcW w:w="2162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</w:t>
            </w:r>
            <w:r>
              <w:rPr/>
              <w:t>h</w:t>
            </w:r>
          </w:p>
        </w:tc>
      </w:tr>
      <w:tr>
        <w:trPr/>
        <w:tc>
          <w:tcPr>
            <w:tcW w:w="1079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6</w:t>
            </w:r>
          </w:p>
        </w:tc>
        <w:tc>
          <w:tcPr>
            <w:tcW w:w="6014" w:type="dxa"/>
            <w:tcBorders>
              <w:top w:val="nil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bCs w:val="false"/>
              </w:rPr>
              <w:t>Pruebas integrales del flujo completo: vinculación de autorización uno a uno en ambiente productivo</w:t>
            </w:r>
          </w:p>
        </w:tc>
        <w:tc>
          <w:tcPr>
            <w:tcW w:w="2162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8h</w:t>
            </w:r>
          </w:p>
        </w:tc>
      </w:tr>
    </w:tbl>
    <w:p>
      <w:pPr>
        <w:pStyle w:val="Normal"/>
        <w:spacing w:before="0" w:after="160"/>
        <w:rPr/>
      </w:pPr>
      <w:r>
        <w:rPr>
          <w:b/>
        </w:rPr>
        <w:br/>
      </w:r>
    </w:p>
    <w:p>
      <w:pPr>
        <w:pStyle w:val="Normal"/>
        <w:spacing w:before="0" w:after="160"/>
        <w:rPr>
          <w:b/>
        </w:rPr>
      </w:pPr>
      <w:r>
        <w:rPr>
          <w:b/>
        </w:rPr>
      </w:r>
    </w:p>
    <w:p>
      <w:pPr>
        <w:pStyle w:val="Normal"/>
        <w:spacing w:before="0" w:after="160"/>
        <w:rPr>
          <w:b/>
        </w:rPr>
      </w:pPr>
      <w:r>
        <w:rPr>
          <w:b/>
        </w:rPr>
      </w:r>
    </w:p>
    <w:p>
      <w:pPr>
        <w:pStyle w:val="Normal"/>
        <w:spacing w:before="0" w:after="160"/>
        <w:rPr>
          <w:b/>
        </w:rPr>
      </w:pPr>
      <w:r>
        <w:rPr>
          <w:b/>
        </w:rPr>
      </w:r>
    </w:p>
    <w:p>
      <w:pPr>
        <w:pStyle w:val="Normal"/>
        <w:spacing w:before="0" w:after="160"/>
        <w:rPr>
          <w:b/>
        </w:rPr>
      </w:pPr>
      <w:r>
        <w:rPr>
          <w:b/>
        </w:rPr>
      </w:r>
    </w:p>
    <w:p>
      <w:pPr>
        <w:pStyle w:val="Normal"/>
        <w:spacing w:before="0" w:after="160"/>
        <w:rPr>
          <w:b/>
        </w:rPr>
      </w:pPr>
      <w:r>
        <w:rPr/>
      </w:r>
    </w:p>
    <w:p>
      <w:pPr>
        <w:pStyle w:val="Normal"/>
        <w:spacing w:before="0" w:after="160"/>
        <w:rPr>
          <w:b/>
        </w:rPr>
      </w:pPr>
      <w:r>
        <w:rPr/>
      </w:r>
    </w:p>
    <w:p>
      <w:pPr>
        <w:pStyle w:val="Normal"/>
        <w:spacing w:before="0" w:after="160"/>
        <w:rPr/>
      </w:pPr>
      <w:r>
        <w:rPr>
          <w:b/>
        </w:rPr>
        <w:t xml:space="preserve">Justificación </w:t>
      </w:r>
    </w:p>
    <w:p>
      <w:pPr>
        <w:pStyle w:val="BodyText"/>
        <w:widowControl/>
        <w:suppressAutoHyphens w:val="true"/>
        <w:bidi w:val="0"/>
        <w:spacing w:lineRule="auto" w:line="276"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 w:eastAsia="" w:cs=""/>
          <w:b w:val="false"/>
          <w:i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</w:pPr>
      <w:r>
        <w:rPr>
          <w:rFonts w:eastAsia="" w:cs="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  <w:t>Justificación general: la decisión de la reunión del viernes 07/11/2025 exige migrar updateServices al índice consolidated_record para aprovechar la data depurada y garantizar que la vinculación de números de autorización sea confiable en el nuevo consolidado. Actividades y justificaciones:</w:t>
      </w:r>
    </w:p>
    <w:p>
      <w:pPr>
        <w:pStyle w:val="BodyText"/>
        <w:widowControl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240" w:after="240"/>
        <w:ind w:hanging="283" w:left="24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 w:eastAsia="" w:cs=""/>
          <w:b w:val="false"/>
          <w:i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</w:pPr>
      <w:r>
        <w:rPr>
          <w:rFonts w:eastAsia="" w:cs="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  <w:t>Análisis detallado del endpoint updatePatientServiceById: necesario para identificar todos los puntos donde hoy se consulta service_records, evitar regresiones y asegurar que el cambio al nuevo índice cubra controladores, servicios, DTOs e interfaces.</w:t>
      </w:r>
    </w:p>
    <w:p>
      <w:pPr>
        <w:pStyle w:val="BodyText"/>
        <w:widowControl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240" w:after="240"/>
        <w:ind w:hanging="283" w:left="24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 w:eastAsia="" w:cs=""/>
          <w:b w:val="false"/>
          <w:i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</w:pPr>
      <w:r>
        <w:rPr>
          <w:rFonts w:eastAsia="" w:cs="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  <w:t>Validación del nuevo esquema consolidated_record: imprescindible para mapear los campos depurados, preparar transformaciones, de modo que la lógica se adapte a la estructura definitiva sin perder integridad ni duplicar reglas.</w:t>
      </w:r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240" w:after="240"/>
        <w:ind w:hanging="283" w:left="24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 w:eastAsia="" w:cs=""/>
          <w:b w:val="false"/>
          <w:i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</w:pPr>
      <w:r>
        <w:rPr>
          <w:rFonts w:eastAsia="" w:cs="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  <w:t>Actualización de código: clave para implementar la consulta a consolidated_record, alinear validaciones de autorización con la nueva data y respaldar el cambio con pruebas que garanticen el comportamiento esperado.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240" w:after="240"/>
        <w:ind w:hanging="283" w:left="24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 w:eastAsia="" w:cs=""/>
          <w:b w:val="false"/>
          <w:i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</w:pPr>
      <w:r>
        <w:rPr>
          <w:rFonts w:eastAsia="" w:cs="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  <w:t>Pruebas unitarias: asegura que el flujo completo funcione con los datos consolidados, previene errores en local y deja evidencia actualizada para soporte y monitoreo conforme al acuerdo de la reunión.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240" w:after="240"/>
        <w:ind w:hanging="283" w:left="24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 w:eastAsia="" w:cs=""/>
          <w:b w:val="false"/>
          <w:i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</w:pPr>
      <w:r>
        <w:rPr/>
        <w:t>Crear nuevo tablero con datasource consolidated_record con la finalidad devisualizar las vinculaciones de autorizaciones</w:t>
      </w:r>
    </w:p>
    <w:p>
      <w:pPr>
        <w:pStyle w:val="Normal"/>
        <w:numPr>
          <w:ilvl w:val="0"/>
          <w:numId w:val="6"/>
        </w:numPr>
        <w:spacing w:before="0" w:after="160"/>
        <w:ind w:hanging="283" w:left="240"/>
        <w:rPr/>
      </w:pPr>
      <w:r>
        <w:rPr>
          <w:rFonts w:eastAsia="" w:cs="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bCs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  <w:t>Pruebas integrales del flujo completo: vinculación de autorización uno a uno en ambiente productivo.</w:t>
      </w:r>
    </w:p>
    <w:p>
      <w:pPr>
        <w:pStyle w:val="BodyText"/>
        <w:spacing w:before="0" w:after="160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bCs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r>
    </w:p>
    <w:p>
      <w:pPr>
        <w:pStyle w:val="BodyText"/>
        <w:rPr>
          <w:b w:val="false"/>
          <w:bCs w:val="false"/>
        </w:rPr>
      </w:pPr>
      <w:r>
        <w:rPr/>
        <w:br/>
      </w:r>
    </w:p>
    <w:p>
      <w:pPr>
        <w:pStyle w:val="Normal"/>
        <w:spacing w:before="0" w:after="160"/>
        <w:rPr>
          <w:b/>
          <w:spacing w:val="-2"/>
        </w:rPr>
      </w:pPr>
      <w:r>
        <w:rPr>
          <w:b/>
          <w:spacing w:val="-2"/>
        </w:rPr>
      </w:r>
    </w:p>
    <w:p>
      <w:pPr>
        <w:pStyle w:val="Normal"/>
        <w:spacing w:before="0" w:after="160"/>
        <w:rPr>
          <w:b/>
          <w:spacing w:val="-2"/>
        </w:rPr>
      </w:pPr>
      <w:r>
        <w:rPr>
          <w:b/>
          <w:spacing w:val="-2"/>
        </w:rPr>
      </w:r>
    </w:p>
    <w:p>
      <w:pPr>
        <w:pStyle w:val="Normal"/>
        <w:spacing w:before="0" w:after="160"/>
        <w:rPr>
          <w:b/>
          <w:spacing w:val="-2"/>
        </w:rPr>
      </w:pPr>
      <w:r>
        <w:rPr>
          <w:b/>
          <w:spacing w:val="-2"/>
        </w:rPr>
      </w:r>
    </w:p>
    <w:p>
      <w:pPr>
        <w:pStyle w:val="Normal"/>
        <w:spacing w:before="0" w:after="160"/>
        <w:rPr>
          <w:b/>
          <w:spacing w:val="-2"/>
        </w:rPr>
      </w:pPr>
      <w:r>
        <w:rPr>
          <w:b/>
          <w:spacing w:val="-2"/>
        </w:rPr>
      </w:r>
    </w:p>
    <w:p>
      <w:pPr>
        <w:pStyle w:val="Normal"/>
        <w:spacing w:before="0" w:after="160"/>
        <w:rPr/>
      </w:pPr>
      <w:r>
        <w:rPr>
          <w:b/>
          <w:spacing w:val="-2"/>
        </w:rPr>
        <w:t>Conclusión</w:t>
        <w:br/>
      </w:r>
      <w:r>
        <w:rPr>
          <w:b/>
        </w:rPr>
        <w:br/>
      </w:r>
      <w:r>
        <w:rPr>
          <w:rFonts w:eastAsia="" w:cs="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kern w:val="2"/>
          <w:sz w:val="24"/>
          <w:szCs w:val="24"/>
          <w:lang w:val="en-US" w:eastAsia="zh-CN" w:bidi="ar-SA"/>
        </w:rPr>
        <w:t>El refactor es necesario para cumplir con la decisión de migrar updateServices hacia consolidated_record, donde la información ya está depurada, asegurando que la vinculación de cada número de autorización con el servicio correspondiente se realice uno a uno en el consolidado, minimizando así el margen de error.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quote-cjk-patch">
    <w:altName w:val="Inter"/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40"/>
        </w:tabs>
        <w:ind w:left="24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240"/>
        </w:tabs>
        <w:ind w:left="24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240"/>
        </w:tabs>
        <w:ind w:left="24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240"/>
        </w:tabs>
        <w:ind w:left="24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9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827c8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827c8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sid w:val="00827c8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sid w:val="00827c87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qFormat/>
    <w:rsid w:val="00827c87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qFormat/>
    <w:rsid w:val="00827c87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qFormat/>
    <w:rsid w:val="00827c87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qFormat/>
    <w:rsid w:val="00827c87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qFormat/>
    <w:rsid w:val="00827c87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827c8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827c8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827c8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827c8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themeColor="accent1" w:themeShade="bf" w:val="0F4761"/>
      <w:spacing w:val="5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rsid w:val="00827c87"/>
    <w:rPr>
      <w:rFonts w:ascii="Segoe UI" w:hAnsi="Segoe UI" w:cs="Segoe UI"/>
      <w:sz w:val="18"/>
      <w:szCs w:val="18"/>
    </w:rPr>
  </w:style>
  <w:style w:type="character" w:styleId="BodyTextChar" w:customStyle="1">
    <w:name w:val="Body Text Char"/>
    <w:basedOn w:val="DefaultParagraphFont"/>
    <w:uiPriority w:val="99"/>
    <w:qFormat/>
    <w:rsid w:val="00827c87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827c87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827c87"/>
    <w:rPr>
      <w:sz w:val="16"/>
      <w:szCs w:val="16"/>
    </w:rPr>
  </w:style>
  <w:style w:type="character" w:styleId="BodyTextFirstIndentChar" w:customStyle="1">
    <w:name w:val="Body Text First Indent Char"/>
    <w:basedOn w:val="BodyTextChar"/>
    <w:uiPriority w:val="99"/>
    <w:qFormat/>
    <w:rsid w:val="00827c87"/>
    <w:rPr/>
  </w:style>
  <w:style w:type="character" w:styleId="BodyTextIndentChar" w:customStyle="1">
    <w:name w:val="Body Text Indent Char"/>
    <w:basedOn w:val="DefaultParagraphFont"/>
    <w:uiPriority w:val="99"/>
    <w:qFormat/>
    <w:rsid w:val="00827c87"/>
    <w:rPr/>
  </w:style>
  <w:style w:type="character" w:styleId="BodyTextFirstIndent2Char" w:customStyle="1">
    <w:name w:val="Body Text First Indent 2 Char"/>
    <w:basedOn w:val="BodyTextIndentChar"/>
    <w:link w:val="BodyTextFirstIndent2"/>
    <w:uiPriority w:val="99"/>
    <w:qFormat/>
    <w:rsid w:val="00827c87"/>
    <w:rPr/>
  </w:style>
  <w:style w:type="character" w:styleId="BodyTextIndent2Char" w:customStyle="1">
    <w:name w:val="Body Text Indent 2 Char"/>
    <w:basedOn w:val="DefaultParagraphFont"/>
    <w:link w:val="BodyTextIndent2"/>
    <w:uiPriority w:val="99"/>
    <w:qFormat/>
    <w:rsid w:val="00827c87"/>
    <w:rPr/>
  </w:style>
  <w:style w:type="character" w:styleId="BodyTextIndent3Char" w:customStyle="1">
    <w:name w:val="Body Text Indent 3 Char"/>
    <w:basedOn w:val="DefaultParagraphFont"/>
    <w:link w:val="BodyTextIndent3"/>
    <w:uiPriority w:val="99"/>
    <w:qFormat/>
    <w:rsid w:val="00827c87"/>
    <w:rPr>
      <w:sz w:val="16"/>
      <w:szCs w:val="16"/>
    </w:rPr>
  </w:style>
  <w:style w:type="character" w:styleId="ClosingChar" w:customStyle="1">
    <w:name w:val="Closing Char"/>
    <w:basedOn w:val="DefaultParagraphFont"/>
    <w:link w:val="Closing"/>
    <w:uiPriority w:val="99"/>
    <w:qFormat/>
    <w:rsid w:val="00827c87"/>
    <w:rPr/>
  </w:style>
  <w:style w:type="character" w:styleId="CommentTextChar" w:customStyle="1">
    <w:name w:val="Comment Text Char"/>
    <w:basedOn w:val="DefaultParagraphFont"/>
    <w:uiPriority w:val="99"/>
    <w:qFormat/>
    <w:rsid w:val="00827c87"/>
    <w:rPr>
      <w:sz w:val="20"/>
      <w:szCs w:val="20"/>
    </w:rPr>
  </w:style>
  <w:style w:type="character" w:styleId="CommentSubjectChar" w:customStyle="1">
    <w:name w:val="Comment Subject Char"/>
    <w:basedOn w:val="CommentTextChar"/>
    <w:uiPriority w:val="99"/>
    <w:qFormat/>
    <w:rsid w:val="00827c87"/>
    <w:rPr>
      <w:b/>
      <w:bCs/>
      <w:sz w:val="20"/>
      <w:szCs w:val="20"/>
    </w:rPr>
  </w:style>
  <w:style w:type="character" w:styleId="DateChar" w:customStyle="1">
    <w:name w:val="Date Char"/>
    <w:basedOn w:val="DefaultParagraphFont"/>
    <w:link w:val="Date"/>
    <w:uiPriority w:val="99"/>
    <w:qFormat/>
    <w:rsid w:val="00827c87"/>
    <w:rPr/>
  </w:style>
  <w:style w:type="character" w:styleId="DocumentMapChar" w:customStyle="1">
    <w:name w:val="Document Map Char"/>
    <w:basedOn w:val="DefaultParagraphFont"/>
    <w:link w:val="DocumentMap"/>
    <w:uiPriority w:val="99"/>
    <w:qFormat/>
    <w:rsid w:val="00827c87"/>
    <w:rPr>
      <w:rFonts w:ascii="Segoe UI" w:hAnsi="Segoe UI" w:cs="Segoe UI"/>
      <w:sz w:val="16"/>
      <w:szCs w:val="16"/>
    </w:rPr>
  </w:style>
  <w:style w:type="character" w:styleId="E-mailSignatureChar" w:customStyle="1">
    <w:name w:val="E-mail Signature Char"/>
    <w:basedOn w:val="DefaultParagraphFont"/>
    <w:uiPriority w:val="99"/>
    <w:qFormat/>
    <w:rsid w:val="00827c87"/>
    <w:rPr/>
  </w:style>
  <w:style w:type="character" w:styleId="EndnoteTextChar" w:customStyle="1">
    <w:name w:val="Endnote Text Char"/>
    <w:basedOn w:val="DefaultParagraphFont"/>
    <w:uiPriority w:val="99"/>
    <w:qFormat/>
    <w:rsid w:val="00827c87"/>
    <w:rPr>
      <w:sz w:val="20"/>
      <w:szCs w:val="20"/>
    </w:rPr>
  </w:style>
  <w:style w:type="character" w:styleId="FooterChar" w:customStyle="1">
    <w:name w:val="Footer Char"/>
    <w:basedOn w:val="DefaultParagraphFont"/>
    <w:uiPriority w:val="99"/>
    <w:qFormat/>
    <w:rsid w:val="00827c87"/>
    <w:rPr/>
  </w:style>
  <w:style w:type="character" w:styleId="FootnoteTextChar" w:customStyle="1">
    <w:name w:val="Footnote Text Char"/>
    <w:basedOn w:val="DefaultParagraphFont"/>
    <w:uiPriority w:val="99"/>
    <w:qFormat/>
    <w:rsid w:val="00827c87"/>
    <w:rPr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827c87"/>
    <w:rPr/>
  </w:style>
  <w:style w:type="character" w:styleId="HTMLAddressChar" w:customStyle="1">
    <w:name w:val="HTML Address Char"/>
    <w:basedOn w:val="DefaultParagraphFont"/>
    <w:link w:val="HTMLAddress"/>
    <w:uiPriority w:val="99"/>
    <w:qFormat/>
    <w:rsid w:val="00827c87"/>
    <w:rPr>
      <w:i/>
      <w:iCs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827c87"/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uiPriority w:val="99"/>
    <w:qFormat/>
    <w:rsid w:val="00827c87"/>
    <w:rPr>
      <w:rFonts w:ascii="Consolas" w:hAnsi="Consolas"/>
      <w:sz w:val="20"/>
      <w:szCs w:val="20"/>
    </w:rPr>
  </w:style>
  <w:style w:type="character" w:styleId="MessageHeaderChar" w:customStyle="1">
    <w:name w:val="Message Header Char"/>
    <w:basedOn w:val="DefaultParagraphFont"/>
    <w:link w:val="MessageHeader"/>
    <w:uiPriority w:val="99"/>
    <w:qFormat/>
    <w:rsid w:val="00827c87"/>
    <w:rPr>
      <w:rFonts w:ascii="Aptos Display" w:hAnsi="Aptos Display" w:eastAsia="" w:cs="" w:asciiTheme="majorHAnsi" w:cstheme="majorBidi" w:eastAsiaTheme="majorEastAsia" w:hAnsiTheme="majorHAnsi"/>
      <w:shd w:fill="CCCCCC" w:val="clear"/>
    </w:rPr>
  </w:style>
  <w:style w:type="character" w:styleId="NoteHeadingChar" w:customStyle="1">
    <w:name w:val="Note Heading Char"/>
    <w:basedOn w:val="DefaultParagraphFont"/>
    <w:link w:val="NoteHeading"/>
    <w:uiPriority w:val="99"/>
    <w:qFormat/>
    <w:rsid w:val="00827c87"/>
    <w:rPr/>
  </w:style>
  <w:style w:type="character" w:styleId="PlainTextChar" w:customStyle="1">
    <w:name w:val="Plain Text Char"/>
    <w:basedOn w:val="DefaultParagraphFont"/>
    <w:link w:val="PlainText"/>
    <w:uiPriority w:val="99"/>
    <w:qFormat/>
    <w:rsid w:val="00827c87"/>
    <w:rPr>
      <w:rFonts w:ascii="Consolas" w:hAnsi="Consolas"/>
      <w:sz w:val="21"/>
      <w:szCs w:val="21"/>
    </w:rPr>
  </w:style>
  <w:style w:type="character" w:styleId="SalutationChar" w:customStyle="1">
    <w:name w:val="Salutation Char"/>
    <w:basedOn w:val="DefaultParagraphFont"/>
    <w:uiPriority w:val="99"/>
    <w:qFormat/>
    <w:rsid w:val="00827c87"/>
    <w:rPr/>
  </w:style>
  <w:style w:type="character" w:styleId="SignatureChar" w:customStyle="1">
    <w:name w:val="Signature Char"/>
    <w:basedOn w:val="DefaultParagraphFont"/>
    <w:uiPriority w:val="99"/>
    <w:qFormat/>
    <w:rsid w:val="00827c87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827c87"/>
    <w:pPr>
      <w:spacing w:before="0" w:after="16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27c87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827c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rsid w:val="00827c87"/>
    <w:pPr/>
    <w:rPr/>
  </w:style>
  <w:style w:type="paragraph" w:styleId="BlockText">
    <w:name w:val="Block Text"/>
    <w:basedOn w:val="Normal"/>
    <w:uiPriority w:val="99"/>
    <w:unhideWhenUsed/>
    <w:qFormat/>
    <w:rsid w:val="00827c87"/>
    <w:pPr>
      <w:pBdr>
        <w:top w:val="single" w:sz="2" w:space="10" w:color="156082"/>
        <w:left w:val="single" w:sz="2" w:space="10" w:color="156082"/>
        <w:bottom w:val="single" w:sz="2" w:space="10" w:color="156082"/>
        <w:right w:val="single" w:sz="2" w:space="10" w:color="156082"/>
      </w:pBdr>
      <w:ind w:hanging="0" w:left="1152" w:right="1152"/>
    </w:pPr>
    <w:rPr>
      <w:i/>
      <w:iCs/>
      <w:color w:themeColor="accent1" w:val="156082"/>
    </w:rPr>
  </w:style>
  <w:style w:type="paragraph" w:styleId="BodyText2">
    <w:name w:val="Body Text 2"/>
    <w:basedOn w:val="Normal"/>
    <w:link w:val="BodyText2Char"/>
    <w:uiPriority w:val="99"/>
    <w:unhideWhenUsed/>
    <w:qFormat/>
    <w:rsid w:val="00827c87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827c87"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before="0" w:after="120"/>
      <w:ind w:hanging="0" w:left="360"/>
    </w:pPr>
    <w:rPr/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rsid w:val="00827c87"/>
    <w:pPr>
      <w:spacing w:before="0" w:after="160"/>
      <w:ind w:firstLine="360" w:left="360"/>
    </w:pPr>
    <w:rPr/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27c87"/>
    <w:pPr>
      <w:spacing w:lineRule="auto" w:line="480" w:before="0" w:after="120"/>
      <w:ind w:hanging="0" w:left="360"/>
    </w:pPr>
    <w:rPr/>
  </w:style>
  <w:style w:type="paragraph" w:styleId="BodyTextIndent3">
    <w:name w:val="Body Text Indent 3"/>
    <w:basedOn w:val="Normal"/>
    <w:link w:val="BodyTextIndent3Char"/>
    <w:uiPriority w:val="99"/>
    <w:unhideWhenUsed/>
    <w:qFormat/>
    <w:rsid w:val="00827c87"/>
    <w:pPr>
      <w:spacing w:before="0" w:after="120"/>
      <w:ind w:hanging="0" w:left="36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qFormat/>
    <w:rsid w:val="00827c87"/>
    <w:pPr>
      <w:spacing w:lineRule="auto" w:line="240" w:before="0" w:after="0"/>
      <w:ind w:hanging="0" w:left="4320"/>
    </w:pPr>
    <w:rPr/>
  </w:style>
  <w:style w:type="paragraph" w:styleId="AnnotationText">
    <w:name w:val="Annotation Text"/>
    <w:basedOn w:val="Normal"/>
    <w:link w:val="CommentTextChar"/>
    <w:uiPriority w:val="99"/>
    <w:unhideWhenUsed/>
    <w:qFormat/>
    <w:rsid w:val="00827c8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unhideWhenUsed/>
    <w:qFormat/>
    <w:rsid w:val="00827c87"/>
    <w:pPr/>
    <w:rPr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827c87"/>
    <w:pPr/>
    <w:rPr/>
  </w:style>
  <w:style w:type="paragraph" w:styleId="DocumentMap">
    <w:name w:val="Document Map"/>
    <w:basedOn w:val="Normal"/>
    <w:link w:val="DocumentMapChar"/>
    <w:uiPriority w:val="99"/>
    <w:unhideWhenUsed/>
    <w:qFormat/>
    <w:rsid w:val="00827c87"/>
    <w:pPr>
      <w:spacing w:lineRule="auto" w:line="240" w:before="0"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uiPriority w:val="99"/>
    <w:unhideWhenUsed/>
    <w:qFormat/>
    <w:rsid w:val="00827c87"/>
    <w:pPr>
      <w:spacing w:lineRule="auto" w:line="240" w:before="0" w:after="0"/>
    </w:pPr>
    <w:rPr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lineRule="auto" w:line="240" w:before="0" w:after="0"/>
    </w:pPr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qFormat/>
    <w:rsid w:val="00827c87"/>
    <w:pPr>
      <w:spacing w:lineRule="auto" w:line="240" w:before="0" w:after="0"/>
      <w:ind w:hanging="0" w:left="2880"/>
    </w:pPr>
    <w:rPr>
      <w:rFonts w:ascii="Aptos Display" w:hAnsi="Aptos Display" w:eastAsia="" w:cs="" w:asciiTheme="majorHAnsi" w:cstheme="majorBidi" w:eastAsiaTheme="majorEastAsia" w:hAnsiTheme="majorHAnsi"/>
    </w:rPr>
  </w:style>
  <w:style w:type="paragraph" w:styleId="EnvelopeReturn">
    <w:name w:val="Envelope Return"/>
    <w:basedOn w:val="Normal"/>
    <w:uiPriority w:val="99"/>
    <w:unhideWhenUsed/>
    <w:qFormat/>
    <w:rsid w:val="00827c87"/>
    <w:pPr>
      <w:spacing w:lineRule="auto" w:line="240" w:before="0" w:after="0"/>
    </w:pPr>
    <w:rPr>
      <w:rFonts w:ascii="Aptos Display" w:hAnsi="Aptos Display" w:eastAsia="" w:cs="" w:asciiTheme="majorHAnsi" w:cstheme="majorBidi" w:eastAsiaTheme="majorEastAsia" w:hAnsiTheme="majorHAnsi"/>
      <w:sz w:val="20"/>
      <w:szCs w:val="20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TMLAddress">
    <w:name w:val="HTML Address"/>
    <w:basedOn w:val="Normal"/>
    <w:link w:val="HTMLAddressChar"/>
    <w:uiPriority w:val="99"/>
    <w:unhideWhenUsed/>
    <w:qFormat/>
    <w:rsid w:val="00827c87"/>
    <w:pPr>
      <w:spacing w:lineRule="auto" w:line="240" w:before="0"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27c87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240"/>
    </w:pPr>
    <w:rPr/>
  </w:style>
  <w:style w:type="paragraph" w:styleId="Index2">
    <w:name w:val="Index 2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480"/>
    </w:pPr>
    <w:rPr/>
  </w:style>
  <w:style w:type="paragraph" w:styleId="Index3">
    <w:name w:val="Index 3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720"/>
    </w:pPr>
    <w:rPr/>
  </w:style>
  <w:style w:type="paragraph" w:styleId="index4">
    <w:name w:val="index 4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960"/>
    </w:pPr>
    <w:rPr/>
  </w:style>
  <w:style w:type="paragraph" w:styleId="index5">
    <w:name w:val="index 5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1200"/>
    </w:pPr>
    <w:rPr/>
  </w:style>
  <w:style w:type="paragraph" w:styleId="index6">
    <w:name w:val="index 6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1440"/>
    </w:pPr>
    <w:rPr/>
  </w:style>
  <w:style w:type="paragraph" w:styleId="index7">
    <w:name w:val="index 7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1680"/>
    </w:pPr>
    <w:rPr/>
  </w:style>
  <w:style w:type="paragraph" w:styleId="index8">
    <w:name w:val="index 8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1920"/>
    </w:pPr>
    <w:rPr/>
  </w:style>
  <w:style w:type="paragraph" w:styleId="index9">
    <w:name w:val="index 9"/>
    <w:basedOn w:val="Normal"/>
    <w:next w:val="Normal"/>
    <w:autoRedefine/>
    <w:uiPriority w:val="99"/>
    <w:unhideWhenUsed/>
    <w:qFormat/>
    <w:rsid w:val="00827c87"/>
    <w:pPr>
      <w:spacing w:lineRule="auto" w:line="240" w:before="0" w:after="0"/>
      <w:ind w:hanging="240" w:left="2160"/>
    </w:pPr>
    <w:rPr/>
  </w:style>
  <w:style w:type="paragraph" w:styleId="IndexHeading">
    <w:name w:val="Index Heading"/>
    <w:basedOn w:val="Normal"/>
    <w:next w:val="Index1"/>
    <w:uiPriority w:val="99"/>
    <w:unhideWhenUsed/>
    <w:qFormat/>
    <w:rsid w:val="00827c87"/>
    <w:pPr/>
    <w:rPr>
      <w:rFonts w:ascii="Aptos Display" w:hAnsi="Aptos Display" w:eastAsia="" w:cs="" w:asciiTheme="majorHAnsi" w:cstheme="majorBidi" w:eastAsiaTheme="majorEastAsia" w:hAnsiTheme="majorHAnsi"/>
      <w:b/>
      <w:bCs/>
    </w:rPr>
  </w:style>
  <w:style w:type="paragraph" w:styleId="ListBullet3">
    <w:name w:val="List Bullet 3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Bullet5">
    <w:name w:val="List Bullet 5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827c87"/>
    <w:pPr>
      <w:spacing w:before="0" w:after="120"/>
      <w:ind w:hanging="0" w:left="36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827c87"/>
    <w:pPr>
      <w:spacing w:before="0" w:after="120"/>
      <w:ind w:hanging="0" w:left="72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827c87"/>
    <w:pPr>
      <w:spacing w:before="0" w:after="120"/>
      <w:ind w:hanging="0" w:left="1080"/>
      <w:contextualSpacing/>
    </w:pPr>
    <w:rPr/>
  </w:style>
  <w:style w:type="paragraph" w:styleId="ListContinue4">
    <w:name w:val="List Continue 4"/>
    <w:basedOn w:val="Normal"/>
    <w:uiPriority w:val="99"/>
    <w:unhideWhenUsed/>
    <w:qFormat/>
    <w:rsid w:val="00827c87"/>
    <w:pPr>
      <w:spacing w:before="0" w:after="120"/>
      <w:ind w:hanging="0" w:left="1440"/>
      <w:contextualSpacing/>
    </w:pPr>
    <w:rPr/>
  </w:style>
  <w:style w:type="paragraph" w:styleId="ListContinue5">
    <w:name w:val="List Continue 5"/>
    <w:basedOn w:val="Normal"/>
    <w:uiPriority w:val="99"/>
    <w:unhideWhenUsed/>
    <w:qFormat/>
    <w:rsid w:val="00827c87"/>
    <w:pPr>
      <w:spacing w:before="0" w:after="120"/>
      <w:ind w:hanging="0" w:left="18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Number4">
    <w:name w:val="List Number 4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ListNumber5">
    <w:name w:val="List Number 5"/>
    <w:basedOn w:val="Normal"/>
    <w:uiPriority w:val="99"/>
    <w:unhideWhenUsed/>
    <w:qFormat/>
    <w:rsid w:val="00827c87"/>
    <w:pPr>
      <w:spacing w:before="0" w:after="160"/>
      <w:contextualSpacing/>
    </w:pPr>
    <w:rPr/>
  </w:style>
  <w:style w:type="paragraph" w:styleId="macro">
    <w:name w:val="macro"/>
    <w:link w:val="MacroTextChar"/>
    <w:uiPriority w:val="99"/>
    <w:unhideWhenUsed/>
    <w:qFormat/>
    <w:rsid w:val="00827c87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lineRule="auto" w:line="276" w:before="0" w:after="0"/>
      <w:jc w:val="left"/>
    </w:pPr>
    <w:rPr>
      <w:rFonts w:ascii="Consolas" w:hAnsi="Consolas" w:eastAsia="" w:cs="" w:cstheme="minorBidi" w:eastAsiaTheme="minorEastAsia"/>
      <w:color w:val="auto"/>
      <w:kern w:val="2"/>
      <w:sz w:val="20"/>
      <w:szCs w:val="20"/>
      <w:lang w:val="en-US" w:eastAsia="zh-CN" w:bidi="ar-SA"/>
      <w14:ligatures w14:val="standardContextual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827c87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 w:before="0" w:after="0"/>
      <w:ind w:hanging="1080" w:left="1080"/>
    </w:pPr>
    <w:rPr>
      <w:rFonts w:ascii="Aptos Display" w:hAnsi="Aptos Display" w:eastAsia="" w:cs="" w:asciiTheme="majorHAnsi" w:cstheme="majorBidi" w:eastAsiaTheme="majorEastAsia" w:hAnsiTheme="majorHAnsi"/>
    </w:rPr>
  </w:style>
  <w:style w:type="paragraph" w:styleId="NoSpacing">
    <w:name w:val="No Spacing"/>
    <w:uiPriority w:val="1"/>
    <w:qFormat/>
    <w:rsid w:val="00827c87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en-US" w:eastAsia="zh-CN" w:bidi="ar-SA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827c87"/>
    <w:pPr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qFormat/>
    <w:rsid w:val="00827c87"/>
    <w:pPr>
      <w:ind w:hanging="0" w:left="720"/>
    </w:pPr>
    <w:rPr/>
  </w:style>
  <w:style w:type="paragraph" w:styleId="NoteHeading">
    <w:name w:val="Note Heading"/>
    <w:basedOn w:val="Normal"/>
    <w:next w:val="Normal"/>
    <w:link w:val="NoteHeadingChar"/>
    <w:uiPriority w:val="99"/>
    <w:unhideWhenUsed/>
    <w:qFormat/>
    <w:rsid w:val="00827c87"/>
    <w:pPr>
      <w:spacing w:lineRule="auto" w:line="240" w:before="0" w:after="0"/>
    </w:pPr>
    <w:rPr/>
  </w:style>
  <w:style w:type="paragraph" w:styleId="PlainText">
    <w:name w:val="Plain Text"/>
    <w:basedOn w:val="Normal"/>
    <w:link w:val="PlainTextChar"/>
    <w:uiPriority w:val="99"/>
    <w:unhideWhenUsed/>
    <w:qFormat/>
    <w:rsid w:val="00827c87"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  <w:pPr/>
    <w:rPr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lineRule="auto" w:line="240" w:before="0" w:after="0"/>
      <w:ind w:hanging="0" w:left="4320"/>
    </w:pPr>
    <w:rPr/>
  </w:style>
  <w:style w:type="paragraph" w:styleId="TableofAuthorities">
    <w:name w:val="Table of Authorities"/>
    <w:basedOn w:val="Normal"/>
    <w:next w:val="Normal"/>
    <w:uiPriority w:val="99"/>
    <w:unhideWhenUsed/>
    <w:qFormat/>
    <w:rsid w:val="00827c87"/>
    <w:pPr>
      <w:spacing w:before="0" w:after="0"/>
      <w:ind w:hanging="240" w:left="24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rsid w:val="00827c87"/>
    <w:pPr>
      <w:spacing w:before="0" w:after="0"/>
    </w:pPr>
    <w:rPr/>
  </w:style>
  <w:style w:type="paragraph" w:styleId="toaheading">
    <w:name w:val="toa heading"/>
    <w:basedOn w:val="Normal"/>
    <w:next w:val="Normal"/>
    <w:uiPriority w:val="99"/>
    <w:unhideWhenUsed/>
    <w:qFormat/>
    <w:rsid w:val="00827c87"/>
    <w:pPr>
      <w:spacing w:before="120" w:after="160"/>
    </w:pPr>
    <w:rPr>
      <w:rFonts w:ascii="Aptos Display" w:hAnsi="Aptos Display" w:eastAsia="" w:cs="" w:asciiTheme="majorHAnsi" w:cstheme="majorBidi" w:eastAsiaTheme="majorEastAsia" w:hAnsiTheme="majorHAns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before="0" w:after="100"/>
      <w:ind w:hanging="0" w:left="240"/>
    </w:pPr>
    <w:rPr/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before="0" w:after="100"/>
      <w:ind w:hanging="0" w:left="480"/>
    </w:pPr>
    <w:rPr/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before="0" w:after="100"/>
      <w:ind w:hanging="0" w:left="720"/>
    </w:pPr>
    <w:rPr/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before="0" w:after="100"/>
      <w:ind w:hanging="0" w:left="960"/>
    </w:pPr>
    <w:rPr/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before="0" w:after="100"/>
      <w:ind w:hanging="0" w:left="1200"/>
    </w:pPr>
    <w:rPr/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before="0" w:after="100"/>
      <w:ind w:hanging="0" w:left="1440"/>
    </w:pPr>
    <w:rPr/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before="0" w:after="100"/>
      <w:ind w:hanging="0" w:left="1680"/>
    </w:pPr>
    <w:rPr/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before="0" w:after="100"/>
      <w:ind w:hanging="0" w:left="1920"/>
    </w:pPr>
    <w:rPr/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</w:pPr>
    <w:rPr>
      <w:sz w:val="32"/>
      <w:szCs w:val="32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sz="4" w:space="0"/>
        </w:tcBorders>
      </w:tcPr>
    </w:tblStylePr>
    <w:tblStylePr w:type="nwCell">
      <w:tblPr/>
      <w:tcPr>
        <w:tcBorders>
          <w:bottom w:val="single" w:color="45B0E1" w:themeColor="accent1" w:sz="4" w:space="0"/>
        </w:tcBorders>
      </w:tcPr>
    </w:tblStylePr>
    <w:tblStylePr w:type="seCell">
      <w:tblPr/>
      <w:tcPr>
        <w:tcBorders>
          <w:top w:val="single" w:color="45B0E1" w:themeColor="accent1" w:sz="4" w:space="0"/>
        </w:tcBorders>
      </w:tcPr>
    </w:tblStylePr>
    <w:tblStylePr w:type="swCell">
      <w:tblPr/>
      <w:tcPr>
        <w:tcBorders>
          <w:top w:val="single" w:color="45B0E1" w:themeColor="accent1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sz="4" w:space="0"/>
        </w:tcBorders>
      </w:tcPr>
    </w:tblStylePr>
    <w:tblStylePr w:type="nwCell">
      <w:tblPr/>
      <w:tcPr>
        <w:tcBorders>
          <w:bottom w:val="single" w:color="F1A983" w:themeColor="accent2" w:sz="4" w:space="0"/>
        </w:tcBorders>
      </w:tcPr>
    </w:tblStylePr>
    <w:tblStylePr w:type="seCell">
      <w:tblPr/>
      <w:tcPr>
        <w:tcBorders>
          <w:top w:val="single" w:color="F1A983" w:themeColor="accent2" w:sz="4" w:space="0"/>
        </w:tcBorders>
      </w:tcPr>
    </w:tblStylePr>
    <w:tblStylePr w:type="swCell">
      <w:tblPr/>
      <w:tcPr>
        <w:tcBorders>
          <w:top w:val="single" w:color="F1A983" w:themeColor="accent2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sz="4" w:space="0"/>
        </w:tcBorders>
      </w:tcPr>
    </w:tblStylePr>
    <w:tblStylePr w:type="nwCell">
      <w:tblPr/>
      <w:tcPr>
        <w:tcBorders>
          <w:bottom w:val="single" w:color="47D459" w:themeColor="accent3" w:sz="4" w:space="0"/>
        </w:tcBorders>
      </w:tcPr>
    </w:tblStylePr>
    <w:tblStylePr w:type="seCell">
      <w:tblPr/>
      <w:tcPr>
        <w:tcBorders>
          <w:top w:val="single" w:color="47D459" w:themeColor="accent3" w:sz="4" w:space="0"/>
        </w:tcBorders>
      </w:tcPr>
    </w:tblStylePr>
    <w:tblStylePr w:type="swCell">
      <w:tblPr/>
      <w:tcPr>
        <w:tcBorders>
          <w:top w:val="single" w:color="47D459" w:themeColor="accent3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sz="4" w:space="0"/>
        </w:tcBorders>
      </w:tcPr>
    </w:tblStylePr>
    <w:tblStylePr w:type="nwCell">
      <w:tblPr/>
      <w:tcPr>
        <w:tcBorders>
          <w:bottom w:val="single" w:color="60CAF3" w:themeColor="accent4" w:sz="4" w:space="0"/>
        </w:tcBorders>
      </w:tcPr>
    </w:tblStylePr>
    <w:tblStylePr w:type="seCell">
      <w:tblPr/>
      <w:tcPr>
        <w:tcBorders>
          <w:top w:val="single" w:color="60CAF3" w:themeColor="accent4" w:sz="4" w:space="0"/>
        </w:tcBorders>
      </w:tcPr>
    </w:tblStylePr>
    <w:tblStylePr w:type="swCell">
      <w:tblPr/>
      <w:tcPr>
        <w:tcBorders>
          <w:top w:val="single" w:color="60CAF3" w:themeColor="accent4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sz="4" w:space="0"/>
        </w:tcBorders>
      </w:tcPr>
    </w:tblStylePr>
    <w:tblStylePr w:type="nwCell">
      <w:tblPr/>
      <w:tcPr>
        <w:tcBorders>
          <w:bottom w:val="single" w:color="D86DCB" w:themeColor="accent5" w:sz="4" w:space="0"/>
        </w:tcBorders>
      </w:tcPr>
    </w:tblStylePr>
    <w:tblStylePr w:type="seCell">
      <w:tblPr/>
      <w:tcPr>
        <w:tcBorders>
          <w:top w:val="single" w:color="D86DCB" w:themeColor="accent5" w:sz="4" w:space="0"/>
        </w:tcBorders>
      </w:tcPr>
    </w:tblStylePr>
    <w:tblStylePr w:type="swCell">
      <w:tblPr/>
      <w:tcPr>
        <w:tcBorders>
          <w:top w:val="single" w:color="D86DCB" w:themeColor="accent5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sz="4" w:space="0"/>
        </w:tcBorders>
      </w:tcPr>
    </w:tblStylePr>
    <w:tblStylePr w:type="nwCell">
      <w:tblPr/>
      <w:tcPr>
        <w:tcBorders>
          <w:bottom w:val="single" w:color="8DD873" w:themeColor="accent6" w:sz="4" w:space="0"/>
        </w:tcBorders>
      </w:tcPr>
    </w:tblStylePr>
    <w:tblStylePr w:type="seCell">
      <w:tblPr/>
      <w:tcPr>
        <w:tcBorders>
          <w:top w:val="single" w:color="8DD873" w:themeColor="accent6" w:sz="4" w:space="0"/>
        </w:tcBorders>
      </w:tcPr>
    </w:tblStylePr>
    <w:tblStylePr w:type="swCell">
      <w:tblPr/>
      <w:tcPr>
        <w:tcBorders>
          <w:top w:val="single" w:color="8DD873" w:themeColor="accent6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sz="4" w:space="0"/>
        </w:tcBorders>
      </w:tcPr>
    </w:tblStylePr>
    <w:tblStylePr w:type="nwCell">
      <w:tblPr/>
      <w:tcPr>
        <w:tcBorders>
          <w:bottom w:val="single" w:color="45B0E1" w:themeColor="accent1" w:sz="4" w:space="0"/>
        </w:tcBorders>
      </w:tcPr>
    </w:tblStylePr>
    <w:tblStylePr w:type="seCell">
      <w:tblPr/>
      <w:tcPr>
        <w:tcBorders>
          <w:top w:val="single" w:color="45B0E1" w:themeColor="accent1" w:sz="4" w:space="0"/>
        </w:tcBorders>
      </w:tcPr>
    </w:tblStylePr>
    <w:tblStylePr w:type="swCell">
      <w:tblPr/>
      <w:tcPr>
        <w:tcBorders>
          <w:top w:val="single" w:color="45B0E1" w:themeColor="accent1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sz="4" w:space="0"/>
        </w:tcBorders>
      </w:tcPr>
    </w:tblStylePr>
    <w:tblStylePr w:type="nwCell">
      <w:tblPr/>
      <w:tcPr>
        <w:tcBorders>
          <w:bottom w:val="single" w:color="F1A983" w:themeColor="accent2" w:sz="4" w:space="0"/>
        </w:tcBorders>
      </w:tcPr>
    </w:tblStylePr>
    <w:tblStylePr w:type="seCell">
      <w:tblPr/>
      <w:tcPr>
        <w:tcBorders>
          <w:top w:val="single" w:color="F1A983" w:themeColor="accent2" w:sz="4" w:space="0"/>
        </w:tcBorders>
      </w:tcPr>
    </w:tblStylePr>
    <w:tblStylePr w:type="swCell">
      <w:tblPr/>
      <w:tcPr>
        <w:tcBorders>
          <w:top w:val="single" w:color="F1A983" w:themeColor="accent2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sz="4" w:space="0"/>
        </w:tcBorders>
      </w:tcPr>
    </w:tblStylePr>
    <w:tblStylePr w:type="nwCell">
      <w:tblPr/>
      <w:tcPr>
        <w:tcBorders>
          <w:bottom w:val="single" w:color="47D459" w:themeColor="accent3" w:sz="4" w:space="0"/>
        </w:tcBorders>
      </w:tcPr>
    </w:tblStylePr>
    <w:tblStylePr w:type="seCell">
      <w:tblPr/>
      <w:tcPr>
        <w:tcBorders>
          <w:top w:val="single" w:color="47D459" w:themeColor="accent3" w:sz="4" w:space="0"/>
        </w:tcBorders>
      </w:tcPr>
    </w:tblStylePr>
    <w:tblStylePr w:type="swCell">
      <w:tblPr/>
      <w:tcPr>
        <w:tcBorders>
          <w:top w:val="single" w:color="47D459" w:themeColor="accent3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sz="4" w:space="0"/>
        </w:tcBorders>
      </w:tcPr>
    </w:tblStylePr>
    <w:tblStylePr w:type="nwCell">
      <w:tblPr/>
      <w:tcPr>
        <w:tcBorders>
          <w:bottom w:val="single" w:color="60CAF3" w:themeColor="accent4" w:sz="4" w:space="0"/>
        </w:tcBorders>
      </w:tcPr>
    </w:tblStylePr>
    <w:tblStylePr w:type="seCell">
      <w:tblPr/>
      <w:tcPr>
        <w:tcBorders>
          <w:top w:val="single" w:color="60CAF3" w:themeColor="accent4" w:sz="4" w:space="0"/>
        </w:tcBorders>
      </w:tcPr>
    </w:tblStylePr>
    <w:tblStylePr w:type="swCell">
      <w:tblPr/>
      <w:tcPr>
        <w:tcBorders>
          <w:top w:val="single" w:color="60CAF3" w:themeColor="accent4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sz="4" w:space="0"/>
        </w:tcBorders>
      </w:tcPr>
    </w:tblStylePr>
    <w:tblStylePr w:type="nwCell">
      <w:tblPr/>
      <w:tcPr>
        <w:tcBorders>
          <w:bottom w:val="single" w:color="D86DCB" w:themeColor="accent5" w:sz="4" w:space="0"/>
        </w:tcBorders>
      </w:tcPr>
    </w:tblStylePr>
    <w:tblStylePr w:type="seCell">
      <w:tblPr/>
      <w:tcPr>
        <w:tcBorders>
          <w:top w:val="single" w:color="D86DCB" w:themeColor="accent5" w:sz="4" w:space="0"/>
        </w:tcBorders>
      </w:tcPr>
    </w:tblStylePr>
    <w:tblStylePr w:type="swCell">
      <w:tblPr/>
      <w:tcPr>
        <w:tcBorders>
          <w:top w:val="single" w:color="D86DCB" w:themeColor="accent5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sz="4" w:space="0"/>
        </w:tcBorders>
      </w:tcPr>
    </w:tblStylePr>
    <w:tblStylePr w:type="nwCell">
      <w:tblPr/>
      <w:tcPr>
        <w:tcBorders>
          <w:bottom w:val="single" w:color="8DD873" w:themeColor="accent6" w:sz="4" w:space="0"/>
        </w:tcBorders>
      </w:tcPr>
    </w:tblStylePr>
    <w:tblStylePr w:type="seCell">
      <w:tblPr/>
      <w:tcPr>
        <w:tcBorders>
          <w:top w:val="single" w:color="8DD873" w:themeColor="accent6" w:sz="4" w:space="0"/>
        </w:tcBorders>
      </w:tcPr>
    </w:tblStylePr>
    <w:tblStylePr w:type="swCell">
      <w:tblPr/>
      <w:tcPr>
        <w:tcBorders>
          <w:top w:val="single" w:color="8DD873" w:themeColor="accent6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2198CF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EE9465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2BB73D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39BEF1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E49BF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1CF50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2198CF" w:themeColor="accent1" w:sz="8" w:space="0"/>
          <w:left w:val="single" w:color="2198CF" w:themeColor="accent1" w:sz="8" w:space="0"/>
          <w:bottom w:val="single" w:color="2198CF" w:themeColor="accent1" w:sz="8" w:space="0"/>
          <w:right w:val="single" w:color="2198CF" w:themeColor="accent1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sz="6" w:space="0"/>
          <w:left w:val="single" w:color="2198CF" w:themeColor="accent1" w:sz="8" w:space="0"/>
          <w:bottom w:val="single" w:color="2198CF" w:themeColor="accent1" w:sz="8" w:space="0"/>
          <w:right w:val="single" w:color="2198CF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EE9465" w:themeColor="accent2" w:sz="8" w:space="0"/>
          <w:left w:val="single" w:color="EE9465" w:themeColor="accent2" w:sz="8" w:space="0"/>
          <w:bottom w:val="single" w:color="EE9465" w:themeColor="accent2" w:sz="8" w:space="0"/>
          <w:right w:val="single" w:color="EE9465" w:themeColor="accent2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sz="6" w:space="0"/>
          <w:left w:val="single" w:color="EE9465" w:themeColor="accent2" w:sz="8" w:space="0"/>
          <w:bottom w:val="single" w:color="EE9465" w:themeColor="accent2" w:sz="8" w:space="0"/>
          <w:right w:val="single" w:color="EE9465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2BB73D" w:themeColor="accent3" w:sz="8" w:space="0"/>
          <w:left w:val="single" w:color="2BB73D" w:themeColor="accent3" w:sz="8" w:space="0"/>
          <w:bottom w:val="single" w:color="2BB73D" w:themeColor="accent3" w:sz="8" w:space="0"/>
          <w:right w:val="single" w:color="2BB73D" w:themeColor="accent3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sz="6" w:space="0"/>
          <w:left w:val="single" w:color="2BB73D" w:themeColor="accent3" w:sz="8" w:space="0"/>
          <w:bottom w:val="single" w:color="2BB73D" w:themeColor="accent3" w:sz="8" w:space="0"/>
          <w:right w:val="single" w:color="2BB73D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39BEF1" w:themeColor="accent4" w:sz="8" w:space="0"/>
          <w:left w:val="single" w:color="39BEF1" w:themeColor="accent4" w:sz="8" w:space="0"/>
          <w:bottom w:val="single" w:color="39BEF1" w:themeColor="accent4" w:sz="8" w:space="0"/>
          <w:right w:val="single" w:color="39BEF1" w:themeColor="accent4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sz="6" w:space="0"/>
          <w:left w:val="single" w:color="39BEF1" w:themeColor="accent4" w:sz="8" w:space="0"/>
          <w:bottom w:val="single" w:color="39BEF1" w:themeColor="accent4" w:sz="8" w:space="0"/>
          <w:right w:val="single" w:color="39BEF1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E49BF" w:themeColor="accent5" w:sz="8" w:space="0"/>
          <w:left w:val="single" w:color="CE49BF" w:themeColor="accent5" w:sz="8" w:space="0"/>
          <w:bottom w:val="single" w:color="CE49BF" w:themeColor="accent5" w:sz="8" w:space="0"/>
          <w:right w:val="single" w:color="CE49BF" w:themeColor="accent5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sz="6" w:space="0"/>
          <w:left w:val="single" w:color="CE49BF" w:themeColor="accent5" w:sz="8" w:space="0"/>
          <w:bottom w:val="single" w:color="CE49BF" w:themeColor="accent5" w:sz="8" w:space="0"/>
          <w:right w:val="single" w:color="CE49BF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1CF50" w:themeColor="accent6" w:sz="8" w:space="0"/>
          <w:left w:val="single" w:color="71CF50" w:themeColor="accent6" w:sz="8" w:space="0"/>
          <w:bottom w:val="single" w:color="71CF50" w:themeColor="accent6" w:sz="8" w:space="0"/>
          <w:right w:val="single" w:color="71CF50" w:themeColor="accent6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sz="6" w:space="0"/>
          <w:left w:val="single" w:color="71CF50" w:themeColor="accent6" w:sz="8" w:space="0"/>
          <w:bottom w:val="single" w:color="71CF50" w:themeColor="accent6" w:sz="8" w:space="0"/>
          <w:right w:val="single" w:color="71CF50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LibreOffice/24.2.7.2$Linux_X86_64 LibreOffice_project/420$Build-2</Application>
  <AppVersion>15.0000</AppVersion>
  <Pages>5</Pages>
  <Words>510</Words>
  <Characters>3214</Characters>
  <CharactersWithSpaces>3673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2025-06-25T20:44:00Z</dcterms:created>
  <dc:creator>Tao Ge</dc:creator>
  <dc:description/>
  <dc:language>es-ES</dc:language>
  <cp:lastModifiedBy/>
  <cp:lastPrinted>2025-11-12T12:05:17Z</cp:lastPrinted>
  <dcterms:modified xsi:type="dcterms:W3CDTF">2025-11-12T12:06:18Z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